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6D3" w:rsidRDefault="003576D3" w:rsidP="00635E6C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Progetto di numero monografico di “Memoria e Ricerca”</w:t>
      </w:r>
    </w:p>
    <w:p w:rsidR="003576D3" w:rsidRDefault="003576D3" w:rsidP="00635E6C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I Ponti tra materia e metafora</w:t>
      </w:r>
    </w:p>
    <w:p w:rsidR="003576D3" w:rsidRDefault="003576D3" w:rsidP="003576D3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progetto ha un’idea portante: </w:t>
      </w:r>
      <w:r w:rsidR="00635E6C"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 ponti sono simboli e strumenti al contempo; uniscono e congiungono, mettono in comunicazione, agevolano passaggi di uomini e merci. Suscitano metafore positive, così come i muri ne suscitano di negative; racchiudono il sinonimo di incontro, di pace di affratellamento, così come i muri segnano divisioni e rifiuto dell’altro. Ma al di là della caratura linguistica e filosofica, il loro significato simbolico è ravvisabile anche nelle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loro </w:t>
      </w:r>
      <w:r w:rsidR="00635E6C"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titolazioni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. Si evocano</w:t>
      </w:r>
      <w:r w:rsidR="00635E6C"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prevalentemente passaggi essenziali delle storie nazionali: personalità, battaglie, date simbolo, progressi della scienza e della tecnologia. La fierezza delle titolazioni può anche segnare un contrasto con la metafora positiva universalistica del ponte inteso come incontro. </w:t>
      </w:r>
    </w:p>
    <w:p w:rsidR="003576D3" w:rsidRDefault="003576D3" w:rsidP="003576D3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numero prenderà in considerazione alcuni ponti, non necessariamente i più noti, affidandoli ad autori che seguiranno almeno un paio di tracce tra le seguenti: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1) Il contesto storico e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la sua influenza sia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nella costruzione concreta (materiali e stili),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sia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nella rappresentazione simbolica o simbolico-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politica del ponte in questione;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2)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La progettazione e il procedimento e dunque, informazioni relative a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l costruttore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(o a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i costruttori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); la procedura seguita (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se è stato assegnato dopo una gara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quali fossero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eventuali progetti alternativi), appartenenza a una corrente culturale e architettonica, sce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lta dei materiali e, laddove possa essere evidenziata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, dimostrazione di originalità costru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ttiva (con implicita o esplicita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dimostrazione di modernità e di funzionalità). Nel caso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anche i distruttori,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del ponte e i motivi della distruzione;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3) Motivi ed effettiva funzionalità urbana nel collegamento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;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4) Scelta della titolazione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 rinvio culturale ad essa; 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5) Eventuale svolgimento di riti e cerimonie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 cioè l’u</w:t>
      </w:r>
      <w:r w:rsidRPr="00635E6C">
        <w:rPr>
          <w:rFonts w:ascii="Times New Roman" w:eastAsia="Times New Roman" w:hAnsi="Times New Roman" w:cs="Times New Roman"/>
          <w:sz w:val="24"/>
          <w:szCs w:val="24"/>
          <w:lang w:eastAsia="it-IT"/>
        </w:rPr>
        <w:t>so pubblico della costruzione.</w:t>
      </w:r>
    </w:p>
    <w:p w:rsidR="000943A8" w:rsidRDefault="003576D3" w:rsidP="003576D3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Pur lasciando la libertà di seguire solo alcuni di questi punti, si segnerà comunque un minimo comune denominatore che consenta di mantenere un minimo di omogeneità e consenta una comparazione. Tale comparazione, così come informazioni e riflessioni in ordine all’oggetto di studio, sarà affrontata in particolare nell’introduzione. Ad essa faranno seguito due saggi di natura </w:t>
      </w:r>
      <w:r w:rsid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solo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apparentemente eccentrica rispetto a casi concreti di ponti “in carne e ossa” e cioè un saggio che affronti il ponte come metafora, traendo dalle riflessioni filosofiche e dalla narrativa spunti che interessino e arricchiscano la riflessione storica e un saggio che si occupi dei </w:t>
      </w:r>
      <w:r w:rsid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ponti nel cinema, seguendo una traccia narrativo-visiva a nostro giudizio molto utile anche come luogo di riferimento di rilevanza storica. Per ciò che riguarda i ponti da prendere in considerazione abbiamo selezionato casi diversi nel tempo, nello spazio e nelle ragioni costruttive, seguendo un percorso che possa arricchire e allargare la comparazione sia dal punto di vista simbolico, sia architettonico, sia come funzione urbana e pubblica. I ponti presi in considerazione sono dunque il Ponte delle catene di Budapest; il ponte di Brooklyn; il ponte 25 aprile di Lisbona; il ponte di Mostar; il ponte di Øresund. Necessità urbane, come l’unione di Buda e Pest (divise nel corso dell’inverno fino al 1849), sfide alla modernità come nel caso di Brooklyn, valenza politica come nella titolazione del ponte di Lisbona iniziato durante il salazarismo e intitolato alla Liberazione dalla dittatura; simbolo dell’implosione etnica jugoslava, come quello di Mostar, che pure, fino al 1993 aveva segnato il punto di incontro multietnico; il ponte che unisce la Svezia alla Danimarca, oggi trasformato di fatto in muro. Se queste sono le “prevalenze” di ognuno dei ponti citati, tutti hanno componenti simboliche e architettoniche che segnano storie di sfide moderne, di cesure politiche e altri significati che, nella loro dimensione pubblica, hanno rappresentato un riferimento identitario. Individuati i ponti, sono stati scelti gli autori che sembravano più adatti a offrire saggi di livello e che conoscessero già la cifra della rivista e cioè la dimensione comparativa e aperta agli apporti disciplinari da riconnettere alla dimensione storica.</w:t>
      </w:r>
    </w:p>
    <w:p w:rsidR="00263121" w:rsidRDefault="00263121" w:rsidP="003576D3">
      <w:pPr>
        <w:spacing w:before="100" w:beforeAutospacing="1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numero, curato da Fulvio Conti e Marco De Nicolò, e con una loro introduzione, si presenterà quindi con il seguente indice: 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lastRenderedPageBreak/>
        <w:t>Il ponte e il suo angelo. Mito e simbolo di una figura archetipica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Raccordi sullo sguardo: ponti e messa in scena cinematografica.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Il Ponte delle Catene - la creazione di una capitale nei simboli e nella realtà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Il ponte di Brooklyn: un’icona della modernità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</w:t>
      </w:r>
      <w:r w:rsidRPr="000943A8">
        <w:rPr>
          <w:rFonts w:ascii="Times New Roman" w:eastAsia="Times New Roman" w:hAnsi="Times New Roman" w:cs="Times New Roman"/>
          <w:i/>
          <w:iCs/>
          <w:sz w:val="24"/>
          <w:szCs w:val="24"/>
          <w:lang w:eastAsia="it-IT"/>
        </w:rPr>
        <w:t>ponte sobre o Tejo</w:t>
      </w: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: dal regime alla democrazia</w:t>
      </w:r>
    </w:p>
    <w:p w:rsidR="000943A8" w:rsidRPr="000943A8" w:rsidRDefault="000943A8" w:rsidP="000943A8">
      <w:pPr>
        <w:autoSpaceDN w:val="0"/>
        <w:spacing w:before="100" w:beforeAutospacing="1" w:after="100" w:afterAutospacing="1" w:line="240" w:lineRule="auto"/>
        <w:ind w:left="-15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bCs/>
          <w:sz w:val="24"/>
          <w:szCs w:val="24"/>
          <w:lang w:val="en-US" w:eastAsia="it-IT"/>
        </w:rPr>
        <w:t xml:space="preserve">Stari Most e Bruce Lee. </w:t>
      </w:r>
      <w:r w:rsidRPr="000943A8">
        <w:rPr>
          <w:rFonts w:ascii="Times New Roman" w:eastAsia="Times New Roman" w:hAnsi="Times New Roman" w:cs="Times New Roman"/>
          <w:bCs/>
          <w:sz w:val="24"/>
          <w:szCs w:val="24"/>
          <w:lang w:eastAsia="it-IT"/>
        </w:rPr>
        <w:t xml:space="preserve">Simboli, miti e realtà fra divisione e convivenza </w:t>
      </w:r>
      <w:r w:rsidRPr="000943A8">
        <w:rPr>
          <w:rFonts w:ascii="Times New Roman" w:eastAsia="Times New Roman" w:hAnsi="Times New Roman" w:cs="Times New Roman"/>
          <w:bCs/>
          <w:sz w:val="24"/>
          <w:szCs w:val="24"/>
          <w:lang w:val="en-US" w:eastAsia="it-IT"/>
        </w:rPr>
        <w:t>a Mostar</w:t>
      </w:r>
    </w:p>
    <w:p w:rsidR="000943A8" w:rsidRPr="000943A8" w:rsidRDefault="000943A8" w:rsidP="000943A8">
      <w:pPr>
        <w:autoSpaceDN w:val="0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943A8">
        <w:rPr>
          <w:rFonts w:ascii="Times New Roman" w:eastAsia="Times New Roman" w:hAnsi="Times New Roman" w:cs="Times New Roman"/>
          <w:sz w:val="24"/>
          <w:szCs w:val="24"/>
          <w:lang w:eastAsia="it-IT"/>
        </w:rPr>
        <w:t>Thinking the Øresund's link: local, regional, and national actors for a trans-national project (1870-2000)</w:t>
      </w:r>
      <w:r w:rsidR="00263121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  <w:bookmarkStart w:id="0" w:name="_GoBack"/>
      <w:bookmarkEnd w:id="0"/>
    </w:p>
    <w:p w:rsidR="00283527" w:rsidRDefault="00283527" w:rsidP="0028352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jc w:val="center"/>
        <w:rPr>
          <w:rFonts w:ascii="Arial" w:hAnsi="Arial" w:cs="Arial"/>
          <w:sz w:val="20"/>
          <w:szCs w:val="20"/>
        </w:rPr>
      </w:pPr>
    </w:p>
    <w:sectPr w:rsidR="002835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3C9" w:rsidRDefault="002C63C9" w:rsidP="00283527">
      <w:pPr>
        <w:spacing w:after="0" w:line="240" w:lineRule="auto"/>
      </w:pPr>
      <w:r>
        <w:separator/>
      </w:r>
    </w:p>
  </w:endnote>
  <w:endnote w:type="continuationSeparator" w:id="0">
    <w:p w:rsidR="002C63C9" w:rsidRDefault="002C63C9" w:rsidP="00283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3C9" w:rsidRDefault="002C63C9" w:rsidP="00283527">
      <w:pPr>
        <w:spacing w:after="0" w:line="240" w:lineRule="auto"/>
      </w:pPr>
      <w:r>
        <w:separator/>
      </w:r>
    </w:p>
  </w:footnote>
  <w:footnote w:type="continuationSeparator" w:id="0">
    <w:p w:rsidR="002C63C9" w:rsidRDefault="002C63C9" w:rsidP="002835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6C"/>
    <w:rsid w:val="00010552"/>
    <w:rsid w:val="000943A8"/>
    <w:rsid w:val="00263121"/>
    <w:rsid w:val="00283527"/>
    <w:rsid w:val="002C63C9"/>
    <w:rsid w:val="003576D3"/>
    <w:rsid w:val="00635E6C"/>
    <w:rsid w:val="0098478E"/>
    <w:rsid w:val="009B245D"/>
    <w:rsid w:val="00C42E86"/>
    <w:rsid w:val="00ED3502"/>
    <w:rsid w:val="00F7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152145-2C24-4AEF-970A-6D31219E1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283527"/>
    <w:rPr>
      <w:color w:val="0000FF"/>
      <w:u w:val="single"/>
    </w:rPr>
  </w:style>
  <w:style w:type="character" w:customStyle="1" w:styleId="Caratteredellanota">
    <w:name w:val="Carattere della nota"/>
    <w:basedOn w:val="Carpredefinitoparagrafo"/>
    <w:rsid w:val="00283527"/>
    <w:rPr>
      <w:vertAlign w:val="superscript"/>
    </w:rPr>
  </w:style>
  <w:style w:type="character" w:customStyle="1" w:styleId="Caratterenotaapidipagina">
    <w:name w:val="Carattere nota a piè di pagina"/>
    <w:rsid w:val="00283527"/>
    <w:rPr>
      <w:vertAlign w:val="superscript"/>
    </w:rPr>
  </w:style>
  <w:style w:type="character" w:styleId="Rimandonotaapidipagina">
    <w:name w:val="footnote reference"/>
    <w:rsid w:val="00283527"/>
    <w:rPr>
      <w:vertAlign w:val="superscript"/>
    </w:rPr>
  </w:style>
  <w:style w:type="paragraph" w:styleId="Testonotaapidipagina">
    <w:name w:val="footnote text"/>
    <w:basedOn w:val="Normale"/>
    <w:link w:val="TestonotaapidipaginaCarattere"/>
    <w:rsid w:val="00283527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pl-PL"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83527"/>
    <w:rPr>
      <w:rFonts w:ascii="Times New Roman" w:eastAsia="Times New Roman" w:hAnsi="Times New Roman" w:cs="Times New Roman"/>
      <w:sz w:val="20"/>
      <w:szCs w:val="20"/>
      <w:lang w:val="pl-PL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1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DeNicolò</dc:creator>
  <cp:keywords/>
  <dc:description/>
  <cp:lastModifiedBy>Utente Windows</cp:lastModifiedBy>
  <cp:revision>6</cp:revision>
  <dcterms:created xsi:type="dcterms:W3CDTF">2016-10-24T08:57:00Z</dcterms:created>
  <dcterms:modified xsi:type="dcterms:W3CDTF">2018-01-28T16:39:00Z</dcterms:modified>
</cp:coreProperties>
</file>